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156A03" w:rsidRDefault="00A47781" w:rsidP="002B6C0A">
      <w:pPr>
        <w:spacing w:line="360" w:lineRule="auto"/>
        <w:jc w:val="both"/>
        <w:rPr>
          <w:lang w:val="en-GB"/>
        </w:rPr>
      </w:pPr>
      <w:r w:rsidRPr="00156A03">
        <w:rPr>
          <w:lang w:val="en-GB" w:eastAsia="it-IT"/>
        </w:rPr>
        <w:t xml:space="preserve"> </w:t>
      </w:r>
    </w:p>
    <w:p w:rsidR="006A55B4" w:rsidRPr="00156A03" w:rsidRDefault="007247BD" w:rsidP="002B6C0A">
      <w:pPr>
        <w:spacing w:line="360" w:lineRule="auto"/>
        <w:jc w:val="both"/>
        <w:rPr>
          <w:lang w:val="en-GB" w:eastAsia="it-IT"/>
        </w:rPr>
      </w:pPr>
      <w:r w:rsidRPr="00156A03">
        <w:rPr>
          <w:noProof/>
          <w:lang w:val="en-GB" w:eastAsia="zh-TW"/>
        </w:rPr>
        <w:drawing>
          <wp:inline distT="0" distB="0" distL="0" distR="0" wp14:anchorId="07111E87" wp14:editId="36CCDE2F">
            <wp:extent cx="6115050" cy="942975"/>
            <wp:effectExtent l="0" t="0" r="0" b="9525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156A03" w:rsidRDefault="007247BD" w:rsidP="002B6C0A">
      <w:pPr>
        <w:spacing w:line="360" w:lineRule="auto"/>
        <w:jc w:val="both"/>
        <w:rPr>
          <w:lang w:val="en-GB" w:eastAsia="it-IT"/>
        </w:rPr>
      </w:pPr>
      <w:r w:rsidRPr="00156A03">
        <w:rPr>
          <w:b/>
          <w:noProof/>
          <w:lang w:val="en-GB" w:eastAsia="zh-TW"/>
        </w:rPr>
        <w:drawing>
          <wp:inline distT="0" distB="0" distL="0" distR="0" wp14:anchorId="6C74934E" wp14:editId="4F43F632">
            <wp:extent cx="1019175" cy="1276350"/>
            <wp:effectExtent l="0" t="0" r="9525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156A03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156A03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156A03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156A03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156A03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156A03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156A03" w:rsidRDefault="00AE55F6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156A03">
        <w:rPr>
          <w:rFonts w:ascii="Garamond" w:hAnsi="Garamond"/>
          <w:color w:val="215868"/>
          <w:sz w:val="28"/>
          <w:szCs w:val="28"/>
          <w:lang w:val="en-GB"/>
        </w:rPr>
        <w:t>April</w:t>
      </w:r>
      <w:r w:rsidR="004F44B6" w:rsidRPr="00156A03">
        <w:rPr>
          <w:rFonts w:ascii="Garamond" w:hAnsi="Garamond"/>
          <w:color w:val="215868"/>
          <w:sz w:val="28"/>
          <w:szCs w:val="28"/>
          <w:lang w:val="en-GB"/>
        </w:rPr>
        <w:t xml:space="preserve"> 2016</w:t>
      </w:r>
    </w:p>
    <w:p w:rsidR="00735CE8" w:rsidRPr="00156A03" w:rsidRDefault="00735CE8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</w:p>
    <w:p w:rsidR="00735CE8" w:rsidRPr="00156A03" w:rsidRDefault="00735CE8" w:rsidP="00735CE8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156A03">
        <w:rPr>
          <w:rFonts w:ascii="Garamond" w:hAnsi="Garamond"/>
          <w:b/>
          <w:sz w:val="28"/>
          <w:szCs w:val="28"/>
          <w:lang w:val="en-GB"/>
        </w:rPr>
        <w:t>EMERGING CHALLENGES</w:t>
      </w:r>
    </w:p>
    <w:p w:rsidR="00080343" w:rsidRPr="00156A03" w:rsidRDefault="00B13D14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 w:rsidRPr="00156A03">
        <w:rPr>
          <w:rFonts w:ascii="Garamond" w:hAnsi="Garamond"/>
          <w:b/>
          <w:sz w:val="28"/>
          <w:szCs w:val="28"/>
          <w:lang w:val="en-GB"/>
        </w:rPr>
        <w:t xml:space="preserve">Maritime security: </w:t>
      </w:r>
      <w:r w:rsidR="00156A03">
        <w:rPr>
          <w:rFonts w:ascii="Garamond" w:hAnsi="Garamond"/>
          <w:b/>
          <w:sz w:val="28"/>
          <w:szCs w:val="28"/>
          <w:lang w:val="en-GB"/>
        </w:rPr>
        <w:t xml:space="preserve">the </w:t>
      </w:r>
      <w:r w:rsidR="00992057" w:rsidRPr="00156A03">
        <w:rPr>
          <w:rFonts w:ascii="Garamond" w:hAnsi="Garamond"/>
          <w:b/>
          <w:sz w:val="28"/>
          <w:szCs w:val="28"/>
          <w:lang w:val="en-GB"/>
        </w:rPr>
        <w:t xml:space="preserve">South </w:t>
      </w:r>
      <w:r w:rsidR="00AE55F6" w:rsidRPr="00156A03">
        <w:rPr>
          <w:rFonts w:ascii="Garamond" w:hAnsi="Garamond"/>
          <w:b/>
          <w:sz w:val="28"/>
          <w:szCs w:val="28"/>
          <w:lang w:val="en-GB"/>
        </w:rPr>
        <w:t xml:space="preserve">Chinese </w:t>
      </w:r>
      <w:r w:rsidR="00992057" w:rsidRPr="00156A03">
        <w:rPr>
          <w:rFonts w:ascii="Garamond" w:hAnsi="Garamond"/>
          <w:b/>
          <w:sz w:val="28"/>
          <w:szCs w:val="28"/>
          <w:lang w:val="en-GB"/>
        </w:rPr>
        <w:t xml:space="preserve">Sea </w:t>
      </w:r>
      <w:r w:rsidR="00156A03">
        <w:rPr>
          <w:rFonts w:ascii="Garamond" w:hAnsi="Garamond"/>
          <w:b/>
          <w:sz w:val="28"/>
          <w:szCs w:val="28"/>
          <w:lang w:val="en-GB"/>
        </w:rPr>
        <w:t>archipelagos</w:t>
      </w:r>
    </w:p>
    <w:p w:rsidR="00F02FCF" w:rsidRPr="00156A03" w:rsidRDefault="00A13368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The South Chinese Sea as part of the Pacific Ocean is an area in common with China, Taiwan, Vietnam, Cambodia, Philippines and Malaysia. </w:t>
      </w:r>
      <w:r w:rsidR="0056207C" w:rsidRPr="00156A03">
        <w:rPr>
          <w:rFonts w:ascii="Garamond" w:hAnsi="Garamond"/>
          <w:bCs/>
          <w:shd w:val="clear" w:color="auto" w:fill="FFFFFF"/>
          <w:lang w:val="en-GB" w:bidi="en-US"/>
        </w:rPr>
        <w:t>For this reason t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he sea and its islands are subject to competing </w:t>
      </w:r>
      <w:r w:rsidR="00965B6D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sovereignty 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>claims by several countries.</w:t>
      </w:r>
    </w:p>
    <w:p w:rsidR="0056207C" w:rsidRPr="00156A03" w:rsidRDefault="00B81978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A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ccording to </w:t>
      </w:r>
      <w:r w:rsidR="0098486D">
        <w:rPr>
          <w:rFonts w:ascii="Garamond" w:hAnsi="Garamond"/>
          <w:bCs/>
          <w:shd w:val="clear" w:color="auto" w:fill="FFFFFF"/>
          <w:lang w:val="en-GB" w:bidi="en-US"/>
        </w:rPr>
        <w:t>the government</w:t>
      </w:r>
      <w:r>
        <w:rPr>
          <w:rFonts w:ascii="Garamond" w:hAnsi="Garamond"/>
          <w:bCs/>
          <w:shd w:val="clear" w:color="auto" w:fill="FFFFFF"/>
          <w:lang w:val="en-GB" w:bidi="en-US"/>
        </w:rPr>
        <w:t>, t</w:t>
      </w:r>
      <w:r w:rsidR="00965B6D">
        <w:rPr>
          <w:rFonts w:ascii="Garamond" w:hAnsi="Garamond"/>
          <w:bCs/>
          <w:shd w:val="clear" w:color="auto" w:fill="FFFFFF"/>
          <w:lang w:val="en-GB" w:bidi="en-US"/>
        </w:rPr>
        <w:t xml:space="preserve">he </w:t>
      </w:r>
      <w:r w:rsidR="00965B6D" w:rsidRPr="00965B6D">
        <w:rPr>
          <w:rFonts w:ascii="Garamond" w:hAnsi="Garamond"/>
          <w:bCs/>
          <w:shd w:val="clear" w:color="auto" w:fill="FFFFFF"/>
          <w:lang w:val="en-GB" w:bidi="en-US"/>
        </w:rPr>
        <w:t xml:space="preserve"> People</w:t>
      </w:r>
      <w:r w:rsidR="00965B6D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="00965B6D" w:rsidRPr="00965B6D">
        <w:rPr>
          <w:rFonts w:ascii="Garamond" w:hAnsi="Garamond"/>
          <w:bCs/>
          <w:shd w:val="clear" w:color="auto" w:fill="FFFFFF"/>
          <w:lang w:val="en-GB" w:bidi="en-US"/>
        </w:rPr>
        <w:t xml:space="preserve">s Liberation Army Navy </w:t>
      </w:r>
      <w:r w:rsidR="0056207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is routinely conducting training drills in the area aimed at increasing the fleets’ combat effectiveness. </w:t>
      </w:r>
      <w:r w:rsidR="00E16CD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China claims most of the South China Sea and </w:t>
      </w:r>
      <w:r w:rsidR="0098486D">
        <w:rPr>
          <w:rFonts w:ascii="Garamond" w:hAnsi="Garamond"/>
          <w:bCs/>
          <w:shd w:val="clear" w:color="auto" w:fill="FFFFFF"/>
          <w:lang w:val="en-GB" w:bidi="en-US"/>
        </w:rPr>
        <w:t xml:space="preserve">Realpolitik understands that </w:t>
      </w:r>
      <w:r w:rsidR="0056207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these 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>drills</w:t>
      </w:r>
      <w:r w:rsidR="0098486D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98486D" w:rsidRPr="00156A03">
        <w:rPr>
          <w:rFonts w:ascii="Garamond" w:hAnsi="Garamond"/>
          <w:bCs/>
          <w:shd w:val="clear" w:color="auto" w:fill="FFFFFF"/>
          <w:lang w:val="en-GB" w:bidi="en-US"/>
        </w:rPr>
        <w:t>Beijing’s ambitions</w:t>
      </w:r>
      <w:r w:rsidR="0098486D">
        <w:rPr>
          <w:rFonts w:ascii="Garamond" w:hAnsi="Garamond"/>
          <w:bCs/>
          <w:shd w:val="clear" w:color="auto" w:fill="FFFFFF"/>
          <w:lang w:val="en-GB" w:bidi="en-US"/>
        </w:rPr>
        <w:t xml:space="preserve"> and the ensuing disputes revolve around the</w:t>
      </w:r>
      <w:r w:rsidR="00E16CD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more than $5 trillion in global trade </w:t>
      </w:r>
      <w:r w:rsidR="00F42101">
        <w:rPr>
          <w:rFonts w:ascii="Garamond" w:hAnsi="Garamond"/>
          <w:bCs/>
          <w:shd w:val="clear" w:color="auto" w:fill="FFFFFF"/>
          <w:lang w:val="en-GB" w:bidi="en-US"/>
        </w:rPr>
        <w:t>transiting</w:t>
      </w:r>
      <w:r w:rsidR="0098486D">
        <w:rPr>
          <w:rFonts w:ascii="Garamond" w:hAnsi="Garamond"/>
          <w:bCs/>
          <w:shd w:val="clear" w:color="auto" w:fill="FFFFFF"/>
          <w:lang w:val="en-GB" w:bidi="en-US"/>
        </w:rPr>
        <w:t xml:space="preserve"> yearly in these waters</w:t>
      </w:r>
      <w:r w:rsidR="00E16CD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. In fact, China is carrying out a project to build artificial islands and military bases in those waters hundreds of miles off China’s coast, </w:t>
      </w:r>
      <w:r w:rsidR="00EB6CD3">
        <w:rPr>
          <w:rFonts w:ascii="Garamond" w:hAnsi="Garamond"/>
          <w:bCs/>
          <w:shd w:val="clear" w:color="auto" w:fill="FFFFFF"/>
          <w:lang w:val="en-GB" w:bidi="en-US"/>
        </w:rPr>
        <w:t>that are</w:t>
      </w:r>
      <w:r w:rsidR="00E16CD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technically international waters. </w:t>
      </w:r>
      <w:r w:rsidR="00EB6CD3">
        <w:rPr>
          <w:rFonts w:ascii="Garamond" w:hAnsi="Garamond"/>
          <w:bCs/>
          <w:shd w:val="clear" w:color="auto" w:fill="FFFFFF"/>
          <w:lang w:val="en-GB" w:bidi="en-US"/>
        </w:rPr>
        <w:t>But n</w:t>
      </w:r>
      <w:r w:rsidR="00E16CD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ot for Xi Jinping and his territorial ambitions. 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According to HIS Jane’s report, new Chinese islands are already </w:t>
      </w:r>
      <w:r w:rsidR="001F168B">
        <w:rPr>
          <w:rFonts w:ascii="Garamond" w:hAnsi="Garamond"/>
          <w:bCs/>
          <w:shd w:val="clear" w:color="auto" w:fill="FFFFFF"/>
          <w:lang w:val="en-GB" w:bidi="en-US"/>
        </w:rPr>
        <w:t>built up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and it is not clear if the project will stop soon or not. </w:t>
      </w:r>
      <w:r w:rsidR="001F168B">
        <w:rPr>
          <w:rFonts w:ascii="Garamond" w:hAnsi="Garamond"/>
          <w:bCs/>
          <w:shd w:val="clear" w:color="auto" w:fill="FFFFFF"/>
          <w:lang w:val="en-GB" w:bidi="en-US"/>
        </w:rPr>
        <w:t xml:space="preserve">This explains the 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>presence</w:t>
      </w:r>
      <w:r w:rsidR="00F5777C">
        <w:rPr>
          <w:rFonts w:ascii="Garamond" w:hAnsi="Garamond"/>
          <w:bCs/>
          <w:shd w:val="clear" w:color="auto" w:fill="FFFFFF"/>
          <w:lang w:val="en-GB" w:bidi="en-US"/>
        </w:rPr>
        <w:t xml:space="preserve"> during March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5777C">
        <w:rPr>
          <w:rFonts w:ascii="Garamond" w:hAnsi="Garamond"/>
          <w:bCs/>
          <w:shd w:val="clear" w:color="auto" w:fill="FFFFFF"/>
          <w:lang w:val="en-GB" w:bidi="en-US"/>
        </w:rPr>
        <w:t xml:space="preserve">in these contested waters 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of </w:t>
      </w:r>
      <w:r w:rsidR="00F5777C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US Navy </w:t>
      </w:r>
      <w:r w:rsidR="00F5777C">
        <w:rPr>
          <w:rFonts w:ascii="Garamond" w:hAnsi="Garamond"/>
          <w:bCs/>
          <w:shd w:val="clear" w:color="auto" w:fill="FFFFFF"/>
          <w:lang w:val="en-GB" w:bidi="en-US"/>
        </w:rPr>
        <w:t xml:space="preserve">carrier group, a couple of destroyers and cruiser followed by a command and control ship. Analysts believe that the 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scope </w:t>
      </w:r>
      <w:r w:rsidR="00F5777C">
        <w:rPr>
          <w:rFonts w:ascii="Garamond" w:hAnsi="Garamond"/>
          <w:bCs/>
          <w:shd w:val="clear" w:color="auto" w:fill="FFFFFF"/>
          <w:lang w:val="en-GB" w:bidi="en-US"/>
        </w:rPr>
        <w:t xml:space="preserve">of the show of flag and force is </w:t>
      </w:r>
      <w:r w:rsidR="00B21BFC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 w:rsidR="00D2113D" w:rsidRPr="00156A03">
        <w:rPr>
          <w:rFonts w:ascii="Garamond" w:hAnsi="Garamond"/>
          <w:bCs/>
          <w:shd w:val="clear" w:color="auto" w:fill="FFFFFF"/>
          <w:lang w:val="en-GB" w:bidi="en-US"/>
        </w:rPr>
        <w:t>deter (and control) further Chinese enlargement</w:t>
      </w:r>
      <w:r w:rsidR="00F5777C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D2113D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in the area.</w:t>
      </w:r>
    </w:p>
    <w:p w:rsidR="00A95017" w:rsidRPr="00156A03" w:rsidRDefault="00A95017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p w:rsidR="00E16CD4" w:rsidRPr="00156A03" w:rsidRDefault="009C6138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In the meantime m</w:t>
      </w:r>
      <w:r w:rsidR="003C537B" w:rsidRPr="00156A03">
        <w:rPr>
          <w:rFonts w:ascii="Garamond" w:hAnsi="Garamond"/>
          <w:bCs/>
          <w:shd w:val="clear" w:color="auto" w:fill="FFFFFF"/>
          <w:lang w:val="en-GB" w:bidi="en-US"/>
        </w:rPr>
        <w:t>aritime piracy incidents, such as kidnapping and killing, are constantly occurring in the area between Malaysia and Philippines.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Incidents reported are one per week</w:t>
      </w:r>
      <w:r w:rsidR="00A95017" w:rsidRPr="00156A03">
        <w:rPr>
          <w:rFonts w:ascii="Garamond" w:hAnsi="Garamond"/>
          <w:bCs/>
          <w:shd w:val="clear" w:color="auto" w:fill="FFFFFF"/>
          <w:lang w:val="en-GB" w:bidi="en-US"/>
        </w:rPr>
        <w:t>, lately,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and perpetrated by Abu Sayyaf bandits </w:t>
      </w:r>
      <w:r>
        <w:rPr>
          <w:rFonts w:ascii="Garamond" w:hAnsi="Garamond"/>
          <w:bCs/>
          <w:shd w:val="clear" w:color="auto" w:fill="FFFFFF"/>
          <w:lang w:val="en-GB" w:bidi="en-US"/>
        </w:rPr>
        <w:t>who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hold hostages and demand ransoms to ship</w:t>
      </w:r>
      <w:r w:rsidR="00156A0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>owners</w:t>
      </w:r>
      <w:r w:rsidR="00A95017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according to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local</w:t>
      </w:r>
      <w:r w:rsidR="00A95017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military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>. Abu Sayyaf</w:t>
      </w:r>
      <w:r w:rsidR="00156A0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is a South Philippines Salafi militant group,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active since the beginning of ’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90s. It is considered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 xml:space="preserve">considered an 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ISIS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vanguard</w:t>
      </w:r>
      <w:r w:rsidR="00CA45F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in Southeast Asia</w:t>
      </w:r>
      <w:r w:rsidR="00A95017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and it was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listed as terrorist ground since</w:t>
      </w:r>
      <w:r w:rsidR="00A95017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the War on Terror programme during past Bush administration.</w:t>
      </w:r>
    </w:p>
    <w:p w:rsidR="00152674" w:rsidRPr="00156A03" w:rsidRDefault="00301BA5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Indonesia has already called for joint maritime patrols with the Philippines and Malaysia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after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the attacks. </w:t>
      </w:r>
      <w:r w:rsidR="0015267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Specifically 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>Indonesian concern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about the frequency of maritime attacks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are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related to coal export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>. In fact, it supplies around 70% of the Philippines’ import needs.</w:t>
      </w:r>
      <w:r w:rsidR="0015267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However the “securitization” of the area should follow a regional approach, because no single nation is able to guarantee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by</w:t>
      </w:r>
      <w:r w:rsidR="0015267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itself or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 xml:space="preserve">in lieu of </w:t>
      </w:r>
      <w:r w:rsidR="00152674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others an adequate response to maritime piracy. </w:t>
      </w:r>
    </w:p>
    <w:p w:rsidR="00A13368" w:rsidRPr="00156A03" w:rsidRDefault="00152674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156A03">
        <w:rPr>
          <w:rFonts w:ascii="Garamond" w:hAnsi="Garamond"/>
          <w:bCs/>
          <w:shd w:val="clear" w:color="auto" w:fill="FFFFFF"/>
          <w:lang w:val="en-GB" w:bidi="en-US"/>
        </w:rPr>
        <w:t>At the moment, among ship</w:t>
      </w:r>
      <w:r w:rsidR="00156A0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owners there is not enough concern about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>recent events of violence escalation in South Chinese Sea. Most important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>ly</w:t>
      </w:r>
      <w:r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C47858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bookmarkStart w:id="0" w:name="_GoBack"/>
      <w:bookmarkEnd w:id="0"/>
      <w:r w:rsidRPr="00156A03">
        <w:rPr>
          <w:rFonts w:ascii="Garamond" w:hAnsi="Garamond"/>
          <w:bCs/>
          <w:shd w:val="clear" w:color="auto" w:fill="FFFFFF"/>
          <w:lang w:val="en-GB" w:bidi="en-US"/>
        </w:rPr>
        <w:t>International Maritime Organization (IMO) does not recognize that area to be part of the High Risk Area (HRA).</w:t>
      </w:r>
      <w:r w:rsidR="00301BA5" w:rsidRPr="00156A03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301BA5" w:rsidRPr="00156A03" w:rsidRDefault="00301BA5" w:rsidP="00B13D14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301BA5" w:rsidRPr="00156A03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4B" w:rsidRDefault="0019394B">
      <w:pPr>
        <w:spacing w:after="0" w:line="240" w:lineRule="auto"/>
      </w:pPr>
      <w:r>
        <w:separator/>
      </w:r>
    </w:p>
  </w:endnote>
  <w:endnote w:type="continuationSeparator" w:id="0">
    <w:p w:rsidR="0019394B" w:rsidRDefault="0019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C47858">
      <w:rPr>
        <w:rFonts w:ascii="Garamond" w:hAnsi="Garamond"/>
        <w:noProof/>
        <w:color w:val="215868"/>
        <w:sz w:val="32"/>
        <w:szCs w:val="32"/>
      </w:rPr>
      <w:t>2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4B" w:rsidRDefault="0019394B">
      <w:pPr>
        <w:spacing w:after="0" w:line="240" w:lineRule="auto"/>
      </w:pPr>
      <w:r>
        <w:separator/>
      </w:r>
    </w:p>
  </w:footnote>
  <w:footnote w:type="continuationSeparator" w:id="0">
    <w:p w:rsidR="0019394B" w:rsidRDefault="0019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5403A"/>
    <w:rsid w:val="00062D83"/>
    <w:rsid w:val="00065DB2"/>
    <w:rsid w:val="00080343"/>
    <w:rsid w:val="00080B15"/>
    <w:rsid w:val="00096A1F"/>
    <w:rsid w:val="000A4BF6"/>
    <w:rsid w:val="000B6256"/>
    <w:rsid w:val="000B63ED"/>
    <w:rsid w:val="000C0EE7"/>
    <w:rsid w:val="000C21DE"/>
    <w:rsid w:val="000C6153"/>
    <w:rsid w:val="000C6D60"/>
    <w:rsid w:val="000D37ED"/>
    <w:rsid w:val="000D6AE4"/>
    <w:rsid w:val="000E3A49"/>
    <w:rsid w:val="000E540A"/>
    <w:rsid w:val="000E5492"/>
    <w:rsid w:val="000F3639"/>
    <w:rsid w:val="00102879"/>
    <w:rsid w:val="00110923"/>
    <w:rsid w:val="00120320"/>
    <w:rsid w:val="0012195E"/>
    <w:rsid w:val="00127B60"/>
    <w:rsid w:val="001359E7"/>
    <w:rsid w:val="00141E33"/>
    <w:rsid w:val="00147A6B"/>
    <w:rsid w:val="00152674"/>
    <w:rsid w:val="00156A03"/>
    <w:rsid w:val="0015736B"/>
    <w:rsid w:val="00161D4F"/>
    <w:rsid w:val="0016264F"/>
    <w:rsid w:val="001659F8"/>
    <w:rsid w:val="00165ED4"/>
    <w:rsid w:val="00167966"/>
    <w:rsid w:val="00175541"/>
    <w:rsid w:val="0017738A"/>
    <w:rsid w:val="001853E5"/>
    <w:rsid w:val="0019394B"/>
    <w:rsid w:val="001A0076"/>
    <w:rsid w:val="001A13DC"/>
    <w:rsid w:val="001A6172"/>
    <w:rsid w:val="001A6578"/>
    <w:rsid w:val="001C4F53"/>
    <w:rsid w:val="001D6FE2"/>
    <w:rsid w:val="001E0EE5"/>
    <w:rsid w:val="001E5EAD"/>
    <w:rsid w:val="001E6F23"/>
    <w:rsid w:val="001F168B"/>
    <w:rsid w:val="001F1CF0"/>
    <w:rsid w:val="001F75A8"/>
    <w:rsid w:val="002014B0"/>
    <w:rsid w:val="0020373D"/>
    <w:rsid w:val="00206EA9"/>
    <w:rsid w:val="00217A27"/>
    <w:rsid w:val="0022116A"/>
    <w:rsid w:val="00224AF8"/>
    <w:rsid w:val="00225159"/>
    <w:rsid w:val="002400C9"/>
    <w:rsid w:val="00244985"/>
    <w:rsid w:val="00245460"/>
    <w:rsid w:val="00257E34"/>
    <w:rsid w:val="00263CA3"/>
    <w:rsid w:val="00264CFF"/>
    <w:rsid w:val="00277210"/>
    <w:rsid w:val="00296990"/>
    <w:rsid w:val="002A096F"/>
    <w:rsid w:val="002A67F4"/>
    <w:rsid w:val="002B5733"/>
    <w:rsid w:val="002B5970"/>
    <w:rsid w:val="002B6C0A"/>
    <w:rsid w:val="002C6A14"/>
    <w:rsid w:val="002D048E"/>
    <w:rsid w:val="00301BA5"/>
    <w:rsid w:val="00311D75"/>
    <w:rsid w:val="00314B17"/>
    <w:rsid w:val="0031508F"/>
    <w:rsid w:val="0032563F"/>
    <w:rsid w:val="00333436"/>
    <w:rsid w:val="00336148"/>
    <w:rsid w:val="00336357"/>
    <w:rsid w:val="00337434"/>
    <w:rsid w:val="003404DA"/>
    <w:rsid w:val="00343AEE"/>
    <w:rsid w:val="003509C2"/>
    <w:rsid w:val="00352072"/>
    <w:rsid w:val="00354BF3"/>
    <w:rsid w:val="0036048E"/>
    <w:rsid w:val="0036601A"/>
    <w:rsid w:val="00372868"/>
    <w:rsid w:val="00373C1D"/>
    <w:rsid w:val="00381DC3"/>
    <w:rsid w:val="003823A6"/>
    <w:rsid w:val="00387DAC"/>
    <w:rsid w:val="00395A07"/>
    <w:rsid w:val="00397C32"/>
    <w:rsid w:val="003A7D44"/>
    <w:rsid w:val="003B33CD"/>
    <w:rsid w:val="003B4C4A"/>
    <w:rsid w:val="003C128D"/>
    <w:rsid w:val="003C537B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5507"/>
    <w:rsid w:val="0045765F"/>
    <w:rsid w:val="00457EE6"/>
    <w:rsid w:val="00460BA3"/>
    <w:rsid w:val="00461B5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04EE"/>
    <w:rsid w:val="004D3C51"/>
    <w:rsid w:val="004D6D6B"/>
    <w:rsid w:val="004F44B6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207C"/>
    <w:rsid w:val="00564053"/>
    <w:rsid w:val="005646D0"/>
    <w:rsid w:val="005714D8"/>
    <w:rsid w:val="00574336"/>
    <w:rsid w:val="00575501"/>
    <w:rsid w:val="005820D3"/>
    <w:rsid w:val="005831D2"/>
    <w:rsid w:val="00593B89"/>
    <w:rsid w:val="00596ADB"/>
    <w:rsid w:val="005A7289"/>
    <w:rsid w:val="005B06DE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33864"/>
    <w:rsid w:val="00640106"/>
    <w:rsid w:val="006535D9"/>
    <w:rsid w:val="00654DFB"/>
    <w:rsid w:val="00656C28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0426"/>
    <w:rsid w:val="007045F9"/>
    <w:rsid w:val="00705A7D"/>
    <w:rsid w:val="00717BAF"/>
    <w:rsid w:val="007247BD"/>
    <w:rsid w:val="00735CE8"/>
    <w:rsid w:val="00736413"/>
    <w:rsid w:val="007474FB"/>
    <w:rsid w:val="0074756A"/>
    <w:rsid w:val="00747B92"/>
    <w:rsid w:val="00756D78"/>
    <w:rsid w:val="007625B0"/>
    <w:rsid w:val="007636D1"/>
    <w:rsid w:val="00765322"/>
    <w:rsid w:val="0076744C"/>
    <w:rsid w:val="007714AC"/>
    <w:rsid w:val="00772C0D"/>
    <w:rsid w:val="0079331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8E68BA"/>
    <w:rsid w:val="008F17E3"/>
    <w:rsid w:val="0090189A"/>
    <w:rsid w:val="009079B7"/>
    <w:rsid w:val="00907AD3"/>
    <w:rsid w:val="0091039A"/>
    <w:rsid w:val="0091506E"/>
    <w:rsid w:val="00921102"/>
    <w:rsid w:val="00921B4C"/>
    <w:rsid w:val="009238CC"/>
    <w:rsid w:val="0092587C"/>
    <w:rsid w:val="009305E5"/>
    <w:rsid w:val="00935352"/>
    <w:rsid w:val="00935DE7"/>
    <w:rsid w:val="00943B5A"/>
    <w:rsid w:val="00952956"/>
    <w:rsid w:val="00954725"/>
    <w:rsid w:val="00965B6D"/>
    <w:rsid w:val="00966101"/>
    <w:rsid w:val="00966182"/>
    <w:rsid w:val="00982A09"/>
    <w:rsid w:val="009842EB"/>
    <w:rsid w:val="0098486D"/>
    <w:rsid w:val="0098666E"/>
    <w:rsid w:val="00990B00"/>
    <w:rsid w:val="00992057"/>
    <w:rsid w:val="00995B6E"/>
    <w:rsid w:val="009A2807"/>
    <w:rsid w:val="009C0A60"/>
    <w:rsid w:val="009C6138"/>
    <w:rsid w:val="009D1466"/>
    <w:rsid w:val="009D67D7"/>
    <w:rsid w:val="009E670E"/>
    <w:rsid w:val="009E683B"/>
    <w:rsid w:val="009F0634"/>
    <w:rsid w:val="009F0BC3"/>
    <w:rsid w:val="009F54E3"/>
    <w:rsid w:val="00A06D82"/>
    <w:rsid w:val="00A13368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95017"/>
    <w:rsid w:val="00AA7B30"/>
    <w:rsid w:val="00AD091D"/>
    <w:rsid w:val="00AD283B"/>
    <w:rsid w:val="00AD53F0"/>
    <w:rsid w:val="00AD5EF0"/>
    <w:rsid w:val="00AE26A7"/>
    <w:rsid w:val="00AE55F6"/>
    <w:rsid w:val="00AE770C"/>
    <w:rsid w:val="00AF6E0E"/>
    <w:rsid w:val="00B00052"/>
    <w:rsid w:val="00B01B41"/>
    <w:rsid w:val="00B06770"/>
    <w:rsid w:val="00B072D0"/>
    <w:rsid w:val="00B1257B"/>
    <w:rsid w:val="00B13D14"/>
    <w:rsid w:val="00B21BFC"/>
    <w:rsid w:val="00B2425C"/>
    <w:rsid w:val="00B2796F"/>
    <w:rsid w:val="00B3088A"/>
    <w:rsid w:val="00B441A4"/>
    <w:rsid w:val="00B51B9F"/>
    <w:rsid w:val="00B5318B"/>
    <w:rsid w:val="00B63C8E"/>
    <w:rsid w:val="00B67459"/>
    <w:rsid w:val="00B7592A"/>
    <w:rsid w:val="00B76D0C"/>
    <w:rsid w:val="00B81978"/>
    <w:rsid w:val="00B860A8"/>
    <w:rsid w:val="00B94008"/>
    <w:rsid w:val="00BA6FCB"/>
    <w:rsid w:val="00BB18FF"/>
    <w:rsid w:val="00BB5549"/>
    <w:rsid w:val="00BB560E"/>
    <w:rsid w:val="00BC0AC2"/>
    <w:rsid w:val="00BC70AE"/>
    <w:rsid w:val="00BC736F"/>
    <w:rsid w:val="00BD33CC"/>
    <w:rsid w:val="00BD3EB5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47858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45F4"/>
    <w:rsid w:val="00CA7019"/>
    <w:rsid w:val="00CB214E"/>
    <w:rsid w:val="00CB6791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113D"/>
    <w:rsid w:val="00D23933"/>
    <w:rsid w:val="00D26815"/>
    <w:rsid w:val="00D36CC5"/>
    <w:rsid w:val="00D42395"/>
    <w:rsid w:val="00D42834"/>
    <w:rsid w:val="00D565AB"/>
    <w:rsid w:val="00D56F8B"/>
    <w:rsid w:val="00D623E0"/>
    <w:rsid w:val="00D66B9F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16CD4"/>
    <w:rsid w:val="00E21A17"/>
    <w:rsid w:val="00E34118"/>
    <w:rsid w:val="00E40A9D"/>
    <w:rsid w:val="00E413D9"/>
    <w:rsid w:val="00E47F4D"/>
    <w:rsid w:val="00E57E6A"/>
    <w:rsid w:val="00E611B8"/>
    <w:rsid w:val="00E63479"/>
    <w:rsid w:val="00E65ECE"/>
    <w:rsid w:val="00E65F1C"/>
    <w:rsid w:val="00E66154"/>
    <w:rsid w:val="00E736C2"/>
    <w:rsid w:val="00E73C59"/>
    <w:rsid w:val="00E756E1"/>
    <w:rsid w:val="00E84979"/>
    <w:rsid w:val="00EB6CD3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02FCF"/>
    <w:rsid w:val="00F137A3"/>
    <w:rsid w:val="00F316DE"/>
    <w:rsid w:val="00F329E6"/>
    <w:rsid w:val="00F341E9"/>
    <w:rsid w:val="00F42101"/>
    <w:rsid w:val="00F50FFD"/>
    <w:rsid w:val="00F5777C"/>
    <w:rsid w:val="00F60447"/>
    <w:rsid w:val="00F6281F"/>
    <w:rsid w:val="00F83AB9"/>
    <w:rsid w:val="00F94F0C"/>
    <w:rsid w:val="00FA1509"/>
    <w:rsid w:val="00FA2BFA"/>
    <w:rsid w:val="00FB7307"/>
    <w:rsid w:val="00FC74E4"/>
    <w:rsid w:val="00FD2029"/>
    <w:rsid w:val="00FE1091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E2D5-C992-4781-8988-E495B758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12</cp:revision>
  <cp:lastPrinted>2013-11-14T07:09:00Z</cp:lastPrinted>
  <dcterms:created xsi:type="dcterms:W3CDTF">2016-05-08T20:50:00Z</dcterms:created>
  <dcterms:modified xsi:type="dcterms:W3CDTF">2016-05-08T21:36:00Z</dcterms:modified>
</cp:coreProperties>
</file>